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3D7701">
        <w:t>38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Благоустройство территории муниципального образования Красноозерное сельское поселение </w:t>
            </w:r>
            <w:r w:rsidRPr="005D5C22">
              <w:rPr>
                <w:rFonts w:ascii="Times New Roman" w:hAnsi="Times New Roman"/>
                <w:sz w:val="24"/>
                <w:szCs w:val="24"/>
              </w:rPr>
              <w:t>муниципального образования Приозерский муниципальный  район Ленинградской области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 на 2022-2024 годы</w:t>
            </w: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 за 2022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Pr="005D5C22">
        <w:rPr>
          <w:rFonts w:ascii="Times New Roman" w:hAnsi="Times New Roman" w:cs="Times New Roman"/>
          <w:sz w:val="24"/>
        </w:rPr>
        <w:t xml:space="preserve">Благоустройство территории муниципального образования Красноозерное сельское поселение </w:t>
      </w:r>
      <w:r w:rsidRPr="005D5C22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 район Ленинградской области</w:t>
      </w:r>
      <w:r w:rsidRPr="005D5C22">
        <w:rPr>
          <w:rFonts w:ascii="Times New Roman" w:hAnsi="Times New Roman" w:cs="Times New Roman"/>
          <w:sz w:val="24"/>
        </w:rPr>
        <w:t xml:space="preserve"> на 2022-2024 годы</w:t>
      </w:r>
      <w:r w:rsidRPr="005D5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за 2022 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1639B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BC" w:rsidRDefault="00046DBC" w:rsidP="00EA097C">
      <w:pPr>
        <w:spacing w:after="0" w:line="240" w:lineRule="auto"/>
      </w:pPr>
      <w:r>
        <w:separator/>
      </w:r>
    </w:p>
  </w:endnote>
  <w:endnote w:type="continuationSeparator" w:id="1">
    <w:p w:rsidR="00046DBC" w:rsidRDefault="00046DBC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BC" w:rsidRDefault="00046DBC" w:rsidP="00EA097C">
      <w:pPr>
        <w:spacing w:after="0" w:line="240" w:lineRule="auto"/>
      </w:pPr>
      <w:r>
        <w:separator/>
      </w:r>
    </w:p>
  </w:footnote>
  <w:footnote w:type="continuationSeparator" w:id="1">
    <w:p w:rsidR="00046DBC" w:rsidRDefault="00046DBC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46DBC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39B0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1E9F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2023-02-10T08:54:00Z</dcterms:modified>
</cp:coreProperties>
</file>